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910C3" w:rsidRPr="00B910C3" w:rsidTr="00B910C3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C3" w:rsidRPr="00B910C3" w:rsidRDefault="00B910C3" w:rsidP="00B9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</w:pPr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МІНІСТЕРСТВО ОХОРОНИ ЗДОРОВ'Я УКРАЇНИ</w:t>
            </w:r>
          </w:p>
        </w:tc>
      </w:tr>
    </w:tbl>
    <w:p w:rsidR="00B910C3" w:rsidRPr="00B910C3" w:rsidRDefault="00B910C3" w:rsidP="00B910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0"/>
        <w:gridCol w:w="4210"/>
      </w:tblGrid>
      <w:tr w:rsidR="00B910C3" w:rsidRPr="00B910C3" w:rsidTr="00B910C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C3" w:rsidRPr="00B910C3" w:rsidRDefault="00B910C3" w:rsidP="00B9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</w:pPr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4"/>
                <w:szCs w:val="24"/>
                <w:lang w:eastAsia="ru-RU"/>
              </w:rPr>
              <w:t>НАКАЗ</w:t>
            </w:r>
          </w:p>
        </w:tc>
      </w:tr>
      <w:tr w:rsidR="00B910C3" w:rsidRPr="00B910C3" w:rsidTr="00B910C3">
        <w:trPr>
          <w:jc w:val="center"/>
        </w:trPr>
        <w:tc>
          <w:tcPr>
            <w:tcW w:w="250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C3" w:rsidRPr="00B910C3" w:rsidRDefault="00B910C3" w:rsidP="00B910C3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</w:pPr>
            <w:r w:rsidRPr="00B910C3"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  <w:t>23.07.2002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C3" w:rsidRPr="00B910C3" w:rsidRDefault="00B910C3" w:rsidP="00B910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</w:pPr>
            <w:r w:rsidRPr="00B910C3"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  <w:t>N 280</w:t>
            </w:r>
          </w:p>
        </w:tc>
      </w:tr>
      <w:tr w:rsidR="00B910C3" w:rsidRPr="00B910C3" w:rsidTr="00B910C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C3" w:rsidRPr="00B910C3" w:rsidRDefault="00B910C3" w:rsidP="00B9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</w:pPr>
            <w:proofErr w:type="spellStart"/>
            <w:r w:rsidRPr="00B910C3"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  <w:t>м.Київ</w:t>
            </w:r>
            <w:proofErr w:type="spellEnd"/>
          </w:p>
        </w:tc>
      </w:tr>
    </w:tbl>
    <w:p w:rsidR="00B910C3" w:rsidRPr="00B910C3" w:rsidRDefault="00B910C3" w:rsidP="00B910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  <w:gridCol w:w="140"/>
      </w:tblGrid>
      <w:tr w:rsidR="00B910C3" w:rsidRPr="00B910C3" w:rsidTr="00B910C3">
        <w:trPr>
          <w:jc w:val="center"/>
        </w:trPr>
        <w:tc>
          <w:tcPr>
            <w:tcW w:w="492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C3" w:rsidRPr="00B910C3" w:rsidRDefault="00B910C3" w:rsidP="00B910C3">
            <w:pPr>
              <w:spacing w:after="165" w:line="240" w:lineRule="auto"/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</w:pP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Щодо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організації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обов'язкових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профілактичних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медичних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оглядів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працівників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окремих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професій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виробництв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організацій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діяльність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яких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пов'язана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обслуговуванням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населення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може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призвести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поширення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інфекційних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хвороб</w:t>
            </w:r>
          </w:p>
        </w:tc>
        <w:tc>
          <w:tcPr>
            <w:tcW w:w="7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C3" w:rsidRPr="00B910C3" w:rsidRDefault="00B910C3" w:rsidP="00B910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</w:pPr>
          </w:p>
        </w:tc>
      </w:tr>
    </w:tbl>
    <w:p w:rsidR="00B910C3" w:rsidRPr="00B910C3" w:rsidRDefault="00B910C3" w:rsidP="00B9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br/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На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виконання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ст.21 Закону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України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"Про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захист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населення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від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інфекційних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хвороб", постанови </w:t>
      </w:r>
      <w:bookmarkStart w:id="0" w:name="_GoBack"/>
      <w:bookmarkEnd w:id="0"/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Кабінету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Міністрів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України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від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23.05.2001р. № 559 "Про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затвердження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Переліку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професій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виробництв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організацій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працівники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яких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підлягають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обов'язковим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профілактичним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медичним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оглядам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порядку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проведення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цих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оглядів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видачі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особистих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книжок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" та з метою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впорядкування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проведення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обов'язкових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профілактичних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оглядів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і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попередження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розповсюдження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інфекційних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захворювань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серед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населення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України</w:t>
      </w:r>
      <w:proofErr w:type="spellEnd"/>
    </w:p>
    <w:p w:rsidR="00B910C3" w:rsidRPr="00B910C3" w:rsidRDefault="00B910C3" w:rsidP="00B910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НАКАЗУЮ: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1.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Затвердити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: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Правила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проведення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обов'язкових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профілактичних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оглядів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працівників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окремих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професій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виробництв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і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організацій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діяльність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яких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пов'язана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обслуговуванням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населення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і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може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призвести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до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поширення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інфекційних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хвороб (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додається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);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Перелік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необхідних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обстежень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лікарів-спеціалістів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видів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клінічних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лабораторних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інших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досліджень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що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необхідні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для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проведення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обов'язкових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оглядів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періодичність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їх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проведення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(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додається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);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Перелік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протипоказань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для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роботи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професіями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визначеними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в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Переліку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професій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виробництв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організацій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працівники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яких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підлягають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обов'язковим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профілактичним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медичним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оглядам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(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додається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).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2. Головному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управлінню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організації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допомоги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населенню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(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М.П.Жданова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), Головному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санітарно-епідеміологічному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управлінню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(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С.П.Бережнов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):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Довести наказ до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відома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міністерств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інших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центральних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органів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виконавчої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влади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Ради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міністрів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Автономної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Республіки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Крим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обласних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Київської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Севастопольської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міських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державних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адміністрацій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Міністерства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охорони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здоров'я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Автономної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Республіки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Крим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управлінь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охорони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здоров'я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обласних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Севастопольської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міської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державних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адміністрацій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Головного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управління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охорони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здоров'я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Київської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міської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державної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адміністрації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головному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лікарю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Центральної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санітарно-епідеміологічної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станції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МОЗ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України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головним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державним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санітарним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лікарям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Автономної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Республіки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Крим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областей,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міст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Києва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 Севастополя, на водному,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залізничному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повітряному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транспорті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Міністерства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оборони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України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Міністерства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внутрішніх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справ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України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Державного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комітету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в справах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охорони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державного кордону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України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Служби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безпеки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України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Державного департаменту з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питань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виконання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покарань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лікувально-оздоровчого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об'єднання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при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Кабінеті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Міністрів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України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головним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лікарям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об'єктів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що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мають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особливий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режим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роботи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3.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Уважати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такими,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що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не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застосовуються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на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території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України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пункти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13.1 - 13.14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примітки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gram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до пункту</w:t>
      </w:r>
      <w:proofErr w:type="gram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13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додатка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2 до наказу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Міністерства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охорони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здоров'я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СРСР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від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29.09.89 № 555.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4. Контроль за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виконанням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наказу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покласти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на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першого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заступника Державного секретаря, головного державного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санітарного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лікаря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України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Бобильову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О. О.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5032"/>
      </w:tblGrid>
      <w:tr w:rsidR="00B910C3" w:rsidRPr="00B910C3" w:rsidTr="00B910C3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C3" w:rsidRPr="00B910C3" w:rsidRDefault="00B910C3" w:rsidP="00B910C3">
            <w:pPr>
              <w:spacing w:after="0" w:line="240" w:lineRule="auto"/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</w:pPr>
            <w:r w:rsidRPr="00B910C3"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  <w:t> 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В.о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Міністра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C3" w:rsidRPr="00B910C3" w:rsidRDefault="00B910C3" w:rsidP="00B910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</w:pP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Ю.В.Поляченко</w:t>
            </w:r>
            <w:proofErr w:type="spellEnd"/>
          </w:p>
        </w:tc>
      </w:tr>
    </w:tbl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B910C3" w:rsidRPr="00B910C3" w:rsidTr="00B910C3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C3" w:rsidRPr="00B910C3" w:rsidRDefault="00B910C3" w:rsidP="00B9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</w:pPr>
            <w:r w:rsidRPr="00B910C3"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  <w:lastRenderedPageBreak/>
              <w:t>  </w:t>
            </w:r>
          </w:p>
        </w:tc>
        <w:tc>
          <w:tcPr>
            <w:tcW w:w="200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C3" w:rsidRPr="00B910C3" w:rsidRDefault="00B910C3" w:rsidP="00B9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</w:pPr>
            <w:r w:rsidRPr="00B910C3"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  <w:t>ЗАТВЕРДЖЕНО</w:t>
            </w:r>
            <w:r w:rsidRPr="00B910C3"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  <w:br/>
              <w:t xml:space="preserve">Наказ МОЗ </w:t>
            </w:r>
            <w:proofErr w:type="spellStart"/>
            <w:r w:rsidRPr="00B910C3"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  <w:t>України</w:t>
            </w:r>
            <w:proofErr w:type="spellEnd"/>
            <w:r w:rsidRPr="00B910C3"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  <w:t> </w:t>
            </w:r>
            <w:r w:rsidRPr="00B910C3"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  <w:br/>
            </w:r>
            <w:proofErr w:type="spellStart"/>
            <w:r w:rsidRPr="00B910C3"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  <w:t>від</w:t>
            </w:r>
            <w:proofErr w:type="spellEnd"/>
            <w:r w:rsidRPr="00B910C3"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  <w:t xml:space="preserve"> 23.07.2002 № 280</w:t>
            </w:r>
          </w:p>
        </w:tc>
      </w:tr>
    </w:tbl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 </w:t>
      </w:r>
    </w:p>
    <w:p w:rsidR="00B910C3" w:rsidRPr="00B910C3" w:rsidRDefault="00B910C3" w:rsidP="00B910C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Правила </w:t>
      </w:r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br/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проведення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обов'язкових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профілактичних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медичних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оглядів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 </w:t>
      </w:r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br/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працівників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окремих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професій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виробництв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та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організацій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діяльність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 </w:t>
      </w:r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br/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яких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пов'язана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з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обслуговуванням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населення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і </w:t>
      </w:r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br/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може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призвести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до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поширення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інфекційних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хвороб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1.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Перелік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професій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виробництв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організацій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працівники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яких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підлягають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обов'язковим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профілактичним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медичним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оглядам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(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далі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-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Перелік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), та порядок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проведення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цих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оглядів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установлені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постановою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Кабінету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Міністрів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України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від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23.05.2001 № 559.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Профілактичні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огляди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проводяться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 метою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запобігання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поширенню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інфекційних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і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паразитарних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захворювань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серед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населення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2.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Обов'язкові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огляди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проводяться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в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лікувально-профілактичних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закладах за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місцем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проживання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або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місцем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роботи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. Для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проведення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обов'язкових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оглядів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погодженням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роботодавцем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можуть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організовуватися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виїзні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бригади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спеціалістів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3.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Адміністрація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закладів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охорони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здоров'я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що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проводять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обов'язкові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профілактичні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огляди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несе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відповідальність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їх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організацію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якість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4. За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погодженням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відповідними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головними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державними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санітарними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лікарями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головні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лікарі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закладів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установ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охорони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здоров'я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які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проводять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обов'язкові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огляди,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затверджують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плани-графіки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їх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проведення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визначають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місце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проведення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затверджують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список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лікарів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які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проводитимуть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обстеження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5.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Терміни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проведення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оглядів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до 10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робочих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днів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6.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Перелік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необхідних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лікарів-спеціалістів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обстежень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видів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клінічних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лабораторних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функціональних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досліджень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що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необхідні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для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проведення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обов'язкових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профілактичних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оглядів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затверджений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цим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наказом.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7. У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разі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погіршення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епідемічної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ситуації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за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поданням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головного державного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санітарного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лікаря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відповідної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адміністративної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території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органи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виконавчої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влади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органи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місцевого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самоврядування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можуть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приймати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рішення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щодо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проведення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позачергових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обов'язкових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профілактичних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оглядів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8.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Усі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результати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обстеження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що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проводяться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лікарями-спеціалістами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(у тому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числі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клінічних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лабораторних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функціональних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інших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досліджень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)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обов'язково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заносяться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до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особистої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книжки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встановленого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зразка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.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Особиста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медична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книжка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заповнюється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відповідно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до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вимог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наказу МОЗ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України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від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11.03.98 № 66 "Про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затвердження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форми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первинного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обліку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№ 1 - ОМК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Інструкції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щодо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порядку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її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ведення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",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зареєстрованого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Міністерством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юстиції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26.03.98 за № 210/2650.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9. На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підставі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результатів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обстеження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кожний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лікар-спеціаліст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робить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висновок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щодо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можливості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допущення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працівника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до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роботи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у конкретному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виробництві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організації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професії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10.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Обов'язкові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профілактичні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огляди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проводяться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дотриманням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санітарно-гігієнічних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протиепідемічних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норм і правил.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11. У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разі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виявлення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інфекційних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захворювань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та/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або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бактеріоносійства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встановлених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у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Переліку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протипоказань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для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роботи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лікувально-профілактичний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заклад повинен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протягом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24 годин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проінформувати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установу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державної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санітарно-епідеміологічної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служби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відповідної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адміністративної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території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місцем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проживання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(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або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місцем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роботи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) хворого (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бактеріоносія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).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Виявлений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хворий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(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бактеріоносій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)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направляється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на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лікування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до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лікувально-профілактичного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закладу за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місцем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проживання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. Явка хворого до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лікувально-профілактичної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установи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обов'язково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контролюється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закладом,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який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проводив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медичний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огляд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відповідною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установою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державної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санітарно-епідеміологічної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служби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lastRenderedPageBreak/>
        <w:t xml:space="preserve">12.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Після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проведеного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лікування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працівник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повинен подати </w:t>
      </w:r>
      <w:proofErr w:type="gram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до закладу</w:t>
      </w:r>
      <w:proofErr w:type="gram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охорони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здоров'я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який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проводив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медичний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огляд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та до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відповідної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установи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державної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санітарно-епідеміологічної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служби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виписку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карти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амбулаторного (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стаціонарного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) хворого (форма 027/о) з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лікувальної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установи, де проводилось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лікування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13. У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разі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повного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одужання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і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закінчення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медогляду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(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якщо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його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було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перервано у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зв'язку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 хворобою)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працівник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може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бути допущений до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роботи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14.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Можливість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допуску до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роботи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хворих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незаразними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шкірними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захворюваннями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(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псоріаз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екзема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алергійні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дерматити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тощо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)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визначається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лікарями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що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проводять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огляди, у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залежності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від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особливостей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перебігу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захворювання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місця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роботи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хворого.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15.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Працівники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що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стали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носіями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патогенного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стафілококу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підлягають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санації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16.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Працівники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виробництв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організацій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професій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визначених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у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Переліку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що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мали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контакт з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інфекційним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хворим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місцем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проживання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або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роботи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підлягають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медичному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спостереженню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обстеженню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gram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 порядку</w:t>
      </w:r>
      <w:proofErr w:type="gram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установленому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чинними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нормативними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актами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Міністерства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охорони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здоров'я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17. При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виявленні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інвазування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гельмінтами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проводиться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обов'язкова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дегельмінтизація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у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лікувально-профілактичних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закладах. На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період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дегельмінтизації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(за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винятком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гемінолепідозу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і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ентеробіозу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)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працівники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від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роботи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не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відсторонюються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18. У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разі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приймання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gram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на роботу</w:t>
      </w:r>
      <w:proofErr w:type="gram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(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або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допуску до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роботи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)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працівників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що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не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пройшли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профілактичних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оглядів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також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порушення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термінів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їх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проходження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роботодавець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(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або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особа,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що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займається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індивідуальною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трудовою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діяльністю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)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несе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відповідальність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згідно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чинним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законодавством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19.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Працівники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які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не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пройшли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обов'язкових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профілактичних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оглядів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в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встановлений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термін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до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роботи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не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допускаються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910C3" w:rsidRPr="00B910C3" w:rsidTr="00B910C3">
        <w:tc>
          <w:tcPr>
            <w:tcW w:w="250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C3" w:rsidRPr="00B910C3" w:rsidRDefault="00B910C3" w:rsidP="00B9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Начальник Головного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 </w:t>
            </w:r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br/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організації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медичної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допомоги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 </w:t>
            </w:r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br/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населенню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МОЗ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України</w:t>
            </w:r>
            <w:proofErr w:type="spellEnd"/>
            <w:r w:rsidRPr="00B910C3"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  <w:t> </w:t>
            </w:r>
          </w:p>
          <w:p w:rsidR="00B910C3" w:rsidRPr="00B910C3" w:rsidRDefault="00B910C3" w:rsidP="00B9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___________Жданова М. П.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C3" w:rsidRPr="00B910C3" w:rsidRDefault="00B910C3" w:rsidP="00B9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Начальник Головного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санітарно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-</w:t>
            </w:r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br/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епідеміологічного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br/>
              <w:t xml:space="preserve">МОЗ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України</w:t>
            </w:r>
            <w:proofErr w:type="spellEnd"/>
          </w:p>
          <w:p w:rsidR="00B910C3" w:rsidRPr="00B910C3" w:rsidRDefault="00B910C3" w:rsidP="00B9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___________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С.П.Бережнов</w:t>
            </w:r>
            <w:proofErr w:type="spellEnd"/>
          </w:p>
        </w:tc>
      </w:tr>
    </w:tbl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B910C3" w:rsidRPr="00B910C3" w:rsidTr="00B910C3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C3" w:rsidRPr="00B910C3" w:rsidRDefault="00B910C3" w:rsidP="00B9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</w:pPr>
            <w:r w:rsidRPr="00B910C3"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C3" w:rsidRPr="00B910C3" w:rsidRDefault="00B910C3" w:rsidP="00B91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</w:pPr>
            <w:r w:rsidRPr="00B910C3"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  <w:t>ЗАТВЕРДЖЕНО</w:t>
            </w:r>
            <w:r w:rsidRPr="00B910C3"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  <w:br/>
              <w:t xml:space="preserve">Наказ МОЗ </w:t>
            </w:r>
            <w:proofErr w:type="spellStart"/>
            <w:r w:rsidRPr="00B910C3"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  <w:t>України</w:t>
            </w:r>
            <w:proofErr w:type="spellEnd"/>
            <w:r w:rsidRPr="00B910C3"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  <w:t> </w:t>
            </w:r>
            <w:r w:rsidRPr="00B910C3"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  <w:br/>
            </w:r>
            <w:proofErr w:type="spellStart"/>
            <w:r w:rsidRPr="00B910C3"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  <w:t>від</w:t>
            </w:r>
            <w:proofErr w:type="spellEnd"/>
            <w:r w:rsidRPr="00B910C3"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  <w:t xml:space="preserve"> 23.07.2002 № 280</w:t>
            </w:r>
          </w:p>
        </w:tc>
      </w:tr>
    </w:tbl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 </w:t>
      </w:r>
    </w:p>
    <w:p w:rsidR="00B910C3" w:rsidRPr="00B910C3" w:rsidRDefault="00B910C3" w:rsidP="00B910C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Перелік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 </w:t>
      </w:r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br/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протипоказань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для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роботи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за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професіями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визначеними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в </w:t>
      </w:r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br/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Переліку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професій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виробництв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та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організацій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працівники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яких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 </w:t>
      </w:r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br/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підлягають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обов'язковим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профілактичним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медичним</w:t>
      </w:r>
      <w:proofErr w:type="spellEnd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b/>
          <w:bCs/>
          <w:color w:val="525252"/>
          <w:sz w:val="21"/>
          <w:szCs w:val="21"/>
          <w:lang w:eastAsia="ru-RU"/>
        </w:rPr>
        <w:t>оглядам</w:t>
      </w:r>
      <w:proofErr w:type="spellEnd"/>
    </w:p>
    <w:p w:rsidR="00B910C3" w:rsidRPr="00B910C3" w:rsidRDefault="00B910C3" w:rsidP="00B910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Протипоказаннями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для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роботи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професіями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визначеними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у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Переліку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є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наявність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таких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захворювань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та/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або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бактеріоносійства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: </w:t>
      </w: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br/>
        <w:t xml:space="preserve">-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черевного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тифу; </w:t>
      </w: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br/>
        <w:t xml:space="preserve">-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паратифів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; </w:t>
      </w: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br/>
        <w:t xml:space="preserve">-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сальмонельозу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; </w:t>
      </w: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br/>
        <w:t xml:space="preserve">-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дизентерії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; </w:t>
      </w: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br/>
        <w:t xml:space="preserve">-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гемінолепідозу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; </w:t>
      </w: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br/>
        <w:t xml:space="preserve">-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ентеробіозу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; </w:t>
      </w: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br/>
        <w:t xml:space="preserve">-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сифілісу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в заразному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періоді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; </w:t>
      </w: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br/>
        <w:t>- прокази; </w:t>
      </w: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br/>
        <w:t xml:space="preserve">-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заразних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шкірних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захворювань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(короста,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трихофітія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мікроспорія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парша,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актиномікоз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виразками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або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свищами на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відкритих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ділянках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тіла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); </w:t>
      </w: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br/>
      </w: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lastRenderedPageBreak/>
        <w:t xml:space="preserve">-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заразних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і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деструктивних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форм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туберкульозу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легенів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; </w:t>
      </w: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br/>
        <w:t xml:space="preserve">-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позалегеневого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туберкульозу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наявністю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нориць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; </w:t>
      </w: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br/>
        <w:t xml:space="preserve">-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бактеріоурії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; </w:t>
      </w: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br/>
        <w:t xml:space="preserve">-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туберкульозного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вовчаку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обличчя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 рук; </w:t>
      </w: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br/>
        <w:t xml:space="preserve">-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гонореї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всіх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форм (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тільки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для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працівників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медичних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оздоровчих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закладів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дошкільних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навчальних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загальноосвітніх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навчальних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закладів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які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безпосередньо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пов'язані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обслуговуванням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дітей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на час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проведення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лікування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антибіотиками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і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отримання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негативних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результатів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першого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контролю); </w:t>
      </w: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br/>
        <w:t xml:space="preserve">-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гнійничкових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захворювань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(для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працівників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акушерських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хірургічних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стаціонарів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відділень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патології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новонароджених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недоношених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працівників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які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виготовляють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реалізують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харчові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продукти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працівників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дошкільних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навчальних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закладів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які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безпосередньо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пов'язані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обслуговуванням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дітей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масажних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косметичних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кабінетів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кабінетів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фізіотерапії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дитячих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молочних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кухонь, на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підприємствах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з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виробництва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кондитерських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виробів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морозива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молочних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продуктів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у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перукарнях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та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інших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підприємствах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, де є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загроза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передачі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захворювання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чи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забруднення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продукції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патогенним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 xml:space="preserve"> </w:t>
      </w:r>
      <w:proofErr w:type="spellStart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стафілококом</w:t>
      </w:r>
      <w:proofErr w:type="spellEnd"/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.).</w:t>
      </w:r>
    </w:p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910C3" w:rsidRPr="00B910C3" w:rsidTr="00B910C3">
        <w:tc>
          <w:tcPr>
            <w:tcW w:w="250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C3" w:rsidRPr="00B910C3" w:rsidRDefault="00B910C3" w:rsidP="00B9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Начальник Головного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 </w:t>
            </w:r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br/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організації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медичної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допомоги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 </w:t>
            </w:r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br/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населенню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МОЗ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України</w:t>
            </w:r>
            <w:proofErr w:type="spellEnd"/>
            <w:r w:rsidRPr="00B910C3">
              <w:rPr>
                <w:rFonts w:ascii="Tahoma" w:eastAsia="Times New Roman" w:hAnsi="Tahoma" w:cs="Tahoma"/>
                <w:color w:val="525252"/>
                <w:sz w:val="21"/>
                <w:szCs w:val="21"/>
                <w:lang w:eastAsia="ru-RU"/>
              </w:rPr>
              <w:t> </w:t>
            </w:r>
          </w:p>
          <w:p w:rsidR="00B910C3" w:rsidRPr="00B910C3" w:rsidRDefault="00B910C3" w:rsidP="00B9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___________Жданова М. П.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C3" w:rsidRPr="00B910C3" w:rsidRDefault="00B910C3" w:rsidP="00B9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Начальник Головного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санітарно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-</w:t>
            </w:r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br/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епідеміологічного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br/>
              <w:t xml:space="preserve">МОЗ 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України</w:t>
            </w:r>
            <w:proofErr w:type="spellEnd"/>
          </w:p>
          <w:p w:rsidR="00B910C3" w:rsidRPr="00B910C3" w:rsidRDefault="00B910C3" w:rsidP="00B9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___________</w:t>
            </w:r>
            <w:proofErr w:type="spellStart"/>
            <w:r w:rsidRPr="00B910C3">
              <w:rPr>
                <w:rFonts w:ascii="Tahoma" w:eastAsia="Times New Roman" w:hAnsi="Tahoma" w:cs="Tahoma"/>
                <w:b/>
                <w:bCs/>
                <w:color w:val="525252"/>
                <w:sz w:val="21"/>
                <w:szCs w:val="21"/>
                <w:lang w:eastAsia="ru-RU"/>
              </w:rPr>
              <w:t>С.П.Бережнов</w:t>
            </w:r>
            <w:proofErr w:type="spellEnd"/>
          </w:p>
        </w:tc>
      </w:tr>
    </w:tbl>
    <w:p w:rsidR="00B910C3" w:rsidRPr="00B910C3" w:rsidRDefault="00B910C3" w:rsidP="00B910C3">
      <w:pPr>
        <w:shd w:val="clear" w:color="auto" w:fill="FFFFFF"/>
        <w:spacing w:after="165" w:line="240" w:lineRule="auto"/>
        <w:rPr>
          <w:rFonts w:ascii="Tahoma" w:eastAsia="Times New Roman" w:hAnsi="Tahoma" w:cs="Tahoma"/>
          <w:color w:val="525252"/>
          <w:sz w:val="21"/>
          <w:szCs w:val="21"/>
          <w:lang w:eastAsia="ru-RU"/>
        </w:rPr>
      </w:pPr>
      <w:r w:rsidRPr="00B910C3">
        <w:rPr>
          <w:rFonts w:ascii="Tahoma" w:eastAsia="Times New Roman" w:hAnsi="Tahoma" w:cs="Tahoma"/>
          <w:color w:val="525252"/>
          <w:sz w:val="21"/>
          <w:szCs w:val="21"/>
          <w:lang w:eastAsia="ru-RU"/>
        </w:rPr>
        <w:t> </w:t>
      </w:r>
    </w:p>
    <w:p w:rsidR="00F87E36" w:rsidRDefault="00F87E36"/>
    <w:sectPr w:rsidR="00F8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C6"/>
    <w:rsid w:val="00612DC6"/>
    <w:rsid w:val="00B910C3"/>
    <w:rsid w:val="00F8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8D2A"/>
  <w15:chartTrackingRefBased/>
  <w15:docId w15:val="{EB17539C-F758-4668-83F6-06C9B491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0C3"/>
    <w:rPr>
      <w:b/>
      <w:bCs/>
    </w:rPr>
  </w:style>
  <w:style w:type="character" w:customStyle="1" w:styleId="apple-converted-space">
    <w:name w:val="apple-converted-space"/>
    <w:basedOn w:val="a0"/>
    <w:rsid w:val="00B9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1514</Words>
  <Characters>8631</Characters>
  <Application>Microsoft Office Word</Application>
  <DocSecurity>0</DocSecurity>
  <Lines>71</Lines>
  <Paragraphs>20</Paragraphs>
  <ScaleCrop>false</ScaleCrop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2017-04-26T14:23:00Z</dcterms:created>
  <dcterms:modified xsi:type="dcterms:W3CDTF">2017-04-26T14:25:00Z</dcterms:modified>
</cp:coreProperties>
</file>